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-565865</wp:posOffset>
            </wp:positionV>
            <wp:extent cx="600075" cy="8554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54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D56487" w:rsidRDefault="00CD5FA7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182AC5" w:rsidRPr="00114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4A6668" w:rsidRPr="001143CC">
        <w:rPr>
          <w:b/>
          <w:sz w:val="28"/>
          <w:szCs w:val="28"/>
        </w:rPr>
        <w:t xml:space="preserve"> </w:t>
      </w:r>
      <w:r w:rsidR="006F3DCF" w:rsidRPr="001143CC">
        <w:rPr>
          <w:b/>
          <w:sz w:val="28"/>
          <w:szCs w:val="28"/>
        </w:rPr>
        <w:t>202</w:t>
      </w:r>
      <w:r w:rsidR="00BB72BB" w:rsidRPr="001143CC">
        <w:rPr>
          <w:b/>
          <w:sz w:val="28"/>
          <w:szCs w:val="28"/>
        </w:rPr>
        <w:t>1</w:t>
      </w:r>
      <w:r w:rsidR="00732F5B" w:rsidRPr="001143CC">
        <w:rPr>
          <w:b/>
          <w:sz w:val="28"/>
          <w:szCs w:val="28"/>
        </w:rPr>
        <w:t xml:space="preserve"> года                                                         </w:t>
      </w:r>
      <w:r w:rsidR="00182AC5" w:rsidRPr="001143CC">
        <w:rPr>
          <w:b/>
          <w:sz w:val="28"/>
          <w:szCs w:val="28"/>
        </w:rPr>
        <w:t xml:space="preserve">                         </w:t>
      </w:r>
      <w:r w:rsidR="00BB72BB" w:rsidRPr="001143CC">
        <w:rPr>
          <w:b/>
          <w:sz w:val="28"/>
          <w:szCs w:val="28"/>
        </w:rPr>
        <w:t xml:space="preserve">       </w:t>
      </w:r>
      <w:r w:rsidR="007B74D3" w:rsidRPr="001143CC">
        <w:rPr>
          <w:b/>
          <w:sz w:val="28"/>
          <w:szCs w:val="28"/>
        </w:rPr>
        <w:t xml:space="preserve">№ </w:t>
      </w:r>
      <w:r w:rsidR="001143CC" w:rsidRPr="001143C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="004A6668" w:rsidRPr="001143CC">
        <w:rPr>
          <w:b/>
          <w:sz w:val="28"/>
          <w:szCs w:val="28"/>
        </w:rPr>
        <w:t>/202</w:t>
      </w:r>
      <w:r w:rsidR="00BB72BB" w:rsidRPr="001143CC">
        <w:rPr>
          <w:b/>
          <w:sz w:val="28"/>
          <w:szCs w:val="28"/>
        </w:rPr>
        <w:t>1</w:t>
      </w:r>
    </w:p>
    <w:p w:rsidR="007A2D55" w:rsidRDefault="00732F5B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с. Мостовое</w:t>
      </w:r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82A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CD5FA7" w:rsidRDefault="00CD5FA7" w:rsidP="007A2D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Железнодорожненского</w:t>
      </w:r>
    </w:p>
    <w:p w:rsidR="007A2D55" w:rsidRPr="001143CC" w:rsidRDefault="00CD5FA7" w:rsidP="007A2D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сельского совета -</w:t>
      </w:r>
      <w:r w:rsidR="00732F5B" w:rsidRPr="001143CC">
        <w:rPr>
          <w:b/>
          <w:bCs/>
          <w:sz w:val="28"/>
          <w:szCs w:val="28"/>
          <w:lang w:val="uk-UA"/>
        </w:rPr>
        <w:t xml:space="preserve"> г</w:t>
      </w:r>
      <w:r w:rsidR="007A2D55" w:rsidRPr="001143CC">
        <w:rPr>
          <w:b/>
          <w:bCs/>
          <w:sz w:val="28"/>
          <w:szCs w:val="28"/>
          <w:lang w:val="uk-UA"/>
        </w:rPr>
        <w:t>лав</w:t>
      </w:r>
      <w:r>
        <w:rPr>
          <w:b/>
          <w:bCs/>
          <w:sz w:val="28"/>
          <w:szCs w:val="28"/>
          <w:lang w:val="uk-UA"/>
        </w:rPr>
        <w:t>а</w:t>
      </w:r>
      <w:r w:rsidR="007A2D55" w:rsidRPr="001143CC">
        <w:rPr>
          <w:b/>
          <w:bCs/>
          <w:sz w:val="28"/>
          <w:szCs w:val="28"/>
          <w:lang w:val="uk-UA"/>
        </w:rPr>
        <w:t xml:space="preserve"> администрации</w:t>
      </w:r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143CC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143CC">
        <w:rPr>
          <w:b/>
          <w:bCs/>
          <w:sz w:val="28"/>
          <w:szCs w:val="28"/>
          <w:lang w:val="uk-UA"/>
        </w:rPr>
        <w:tab/>
      </w:r>
      <w:r w:rsidRPr="001143CC">
        <w:rPr>
          <w:b/>
          <w:bCs/>
          <w:sz w:val="28"/>
          <w:szCs w:val="28"/>
          <w:lang w:val="uk-UA"/>
        </w:rPr>
        <w:tab/>
      </w:r>
      <w:r w:rsidR="001143CC" w:rsidRPr="001143CC">
        <w:rPr>
          <w:b/>
          <w:bCs/>
          <w:sz w:val="28"/>
          <w:szCs w:val="28"/>
          <w:lang w:val="uk-UA"/>
        </w:rPr>
        <w:t xml:space="preserve">           </w:t>
      </w:r>
      <w:r w:rsidR="00CD5FA7">
        <w:rPr>
          <w:b/>
          <w:bCs/>
          <w:sz w:val="28"/>
          <w:szCs w:val="28"/>
          <w:lang w:val="uk-UA"/>
        </w:rPr>
        <w:t xml:space="preserve">И.А. </w:t>
      </w:r>
      <w:proofErr w:type="spellStart"/>
      <w:r w:rsidR="00CD5FA7">
        <w:rPr>
          <w:b/>
          <w:bCs/>
          <w:sz w:val="28"/>
          <w:szCs w:val="28"/>
          <w:lang w:val="uk-UA"/>
        </w:rPr>
        <w:t>Колкунова</w:t>
      </w:r>
      <w:proofErr w:type="spellEnd"/>
    </w:p>
    <w:p w:rsidR="00D56487" w:rsidRDefault="00D56487" w:rsidP="00DD03E6">
      <w:pPr>
        <w:jc w:val="both"/>
        <w:rPr>
          <w:b/>
          <w:bCs/>
          <w:sz w:val="28"/>
          <w:szCs w:val="28"/>
          <w:lang w:val="uk-UA"/>
        </w:rPr>
      </w:pPr>
    </w:p>
    <w:p w:rsidR="001143CC" w:rsidRDefault="001143CC" w:rsidP="00D56487">
      <w:pPr>
        <w:jc w:val="right"/>
        <w:rPr>
          <w:b/>
          <w:bCs/>
          <w:sz w:val="28"/>
          <w:szCs w:val="28"/>
          <w:lang w:val="uk-UA"/>
        </w:rPr>
      </w:pPr>
    </w:p>
    <w:p w:rsidR="00D56487" w:rsidRPr="00A56754" w:rsidRDefault="00764B3C" w:rsidP="00D56487">
      <w:pPr>
        <w:jc w:val="right"/>
      </w:pPr>
      <w:r>
        <w:rPr>
          <w:b/>
          <w:bCs/>
          <w:sz w:val="28"/>
          <w:szCs w:val="28"/>
          <w:lang w:val="uk-UA"/>
        </w:rPr>
        <w:t xml:space="preserve"> </w:t>
      </w:r>
      <w:r w:rsidR="00D56487"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 w:rsidRPr="001143CC">
        <w:t xml:space="preserve">от </w:t>
      </w:r>
      <w:r w:rsidR="00CD5FA7">
        <w:t>05.10</w:t>
      </w:r>
      <w:r w:rsidR="00D56487" w:rsidRPr="001143CC">
        <w:t>.202</w:t>
      </w:r>
      <w:r w:rsidR="00BB72BB" w:rsidRPr="001143CC">
        <w:t>1</w:t>
      </w:r>
      <w:r w:rsidR="00D56487" w:rsidRPr="001143CC">
        <w:t xml:space="preserve"> №</w:t>
      </w:r>
      <w:r w:rsidR="00476F75" w:rsidRPr="001143CC">
        <w:t xml:space="preserve"> </w:t>
      </w:r>
      <w:r w:rsidR="001143CC" w:rsidRPr="001143CC">
        <w:t>8</w:t>
      </w:r>
      <w:r w:rsidR="00CD5FA7">
        <w:t>4</w:t>
      </w:r>
      <w:r w:rsidR="00BF2FCA" w:rsidRPr="001143CC">
        <w:t>/202</w:t>
      </w:r>
      <w:r w:rsidR="00BB72BB" w:rsidRPr="001143CC">
        <w:t>1</w:t>
      </w:r>
      <w:r w:rsidR="00D56487" w:rsidRPr="001143CC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59"/>
        <w:gridCol w:w="1134"/>
        <w:gridCol w:w="992"/>
        <w:gridCol w:w="993"/>
        <w:gridCol w:w="992"/>
        <w:gridCol w:w="1134"/>
        <w:gridCol w:w="992"/>
        <w:gridCol w:w="1099"/>
      </w:tblGrid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0A55A0">
        <w:trPr>
          <w:trHeight w:val="686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2C2135">
            <w:r>
              <w:t>2018</w:t>
            </w:r>
            <w:r w:rsidRPr="005B2AFC">
              <w:t>-202</w:t>
            </w:r>
            <w:r w:rsidR="002C2135">
              <w:t>3</w:t>
            </w:r>
            <w:r w:rsidRPr="005B2AFC">
              <w:t xml:space="preserve"> годы</w:t>
            </w:r>
          </w:p>
        </w:tc>
      </w:tr>
      <w:tr w:rsidR="00D56487" w:rsidRPr="00B03E6F" w:rsidTr="000A55A0">
        <w:trPr>
          <w:cantSplit/>
          <w:trHeight w:val="461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2C2135" w:rsidRPr="00B03E6F" w:rsidTr="000A55A0">
        <w:trPr>
          <w:cantSplit/>
          <w:trHeight w:val="278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2023 год</w:t>
            </w:r>
          </w:p>
        </w:tc>
      </w:tr>
      <w:tr w:rsidR="002C2135" w:rsidRPr="00B03E6F" w:rsidTr="000A55A0">
        <w:trPr>
          <w:cantSplit/>
          <w:trHeight w:val="525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CD5FA7" w:rsidP="00543B06">
            <w:pPr>
              <w:tabs>
                <w:tab w:val="center" w:pos="4677"/>
                <w:tab w:val="right" w:pos="9355"/>
              </w:tabs>
              <w:jc w:val="center"/>
            </w:pPr>
            <w:r>
              <w:t>11818,7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67614A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2053,4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CD5FA7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2914,4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ind w:left="-108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trHeight w:val="70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2C2135" w:rsidRPr="00B03E6F" w:rsidRDefault="002C2135" w:rsidP="001D32D2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2C21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</w:pPr>
            <w:r w:rsidRPr="00B03E6F">
              <w:t>Средства бюджета Железнодор</w:t>
            </w:r>
            <w:r w:rsidRPr="00B03E6F">
              <w:lastRenderedPageBreak/>
              <w:t xml:space="preserve">ожненского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CD5FA7" w:rsidP="002D5046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11218,7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DF4589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CD5FA7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2914,4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E3602" w:rsidRPr="00B03E6F" w:rsidTr="000A55A0">
        <w:trPr>
          <w:trHeight w:val="47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AE3602" w:rsidRPr="00B03E6F" w:rsidTr="000A55A0">
        <w:trPr>
          <w:trHeight w:val="63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>
              <w:t>Крымэнерго</w:t>
            </w:r>
            <w:proofErr w:type="spellEnd"/>
            <w:r>
              <w:t>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224816" w:rsidRPr="00B03E6F" w:rsidTr="00224816">
        <w:trPr>
          <w:trHeight w:val="459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816" w:rsidRPr="00B03E6F" w:rsidRDefault="00224816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16" w:rsidRDefault="00224816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</w:t>
      </w:r>
      <w:r w:rsidRPr="00B03E6F">
        <w:lastRenderedPageBreak/>
        <w:t xml:space="preserve">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2C2135">
        <w:t>3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="00BB72BB">
        <w:t xml:space="preserve"> 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 xml:space="preserve">роектирование </w:t>
      </w:r>
      <w:r w:rsidR="00BB72BB">
        <w:t>капитальн</w:t>
      </w:r>
      <w:r w:rsidR="00224816">
        <w:t>ого</w:t>
      </w:r>
      <w:r w:rsidR="00BB72BB">
        <w:t xml:space="preserve"> ремонт</w:t>
      </w:r>
      <w:r w:rsidR="00224816">
        <w:t>а</w:t>
      </w:r>
      <w:r w:rsidR="00BB72BB">
        <w:t xml:space="preserve"> </w:t>
      </w:r>
      <w:r w:rsidRPr="00AA27D1">
        <w:t>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</w:t>
      </w:r>
      <w:proofErr w:type="spellStart"/>
      <w:r>
        <w:t>Крымэнерго</w:t>
      </w:r>
      <w:proofErr w:type="spellEnd"/>
      <w:r>
        <w:t>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</w:t>
      </w:r>
      <w:proofErr w:type="spellStart"/>
      <w:r>
        <w:t>Крымэнерго</w:t>
      </w:r>
      <w:proofErr w:type="spellEnd"/>
      <w:r>
        <w:t>» для их функционирования.</w:t>
      </w:r>
    </w:p>
    <w:p w:rsidR="00D22AD0" w:rsidRDefault="00D22AD0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1D32D2">
          <w:headerReference w:type="default" r:id="rId9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3041"/>
        <w:gridCol w:w="2660"/>
        <w:gridCol w:w="1293"/>
        <w:gridCol w:w="2286"/>
        <w:gridCol w:w="1196"/>
        <w:gridCol w:w="650"/>
        <w:gridCol w:w="749"/>
        <w:gridCol w:w="749"/>
        <w:gridCol w:w="749"/>
        <w:gridCol w:w="749"/>
        <w:gridCol w:w="807"/>
      </w:tblGrid>
      <w:tr w:rsidR="00D22AD0" w:rsidRPr="0067614A" w:rsidTr="0022481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gramEnd"/>
            <w:r w:rsidRPr="0067614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22AD0" w:rsidRPr="0067614A" w:rsidTr="002C2135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22AD0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 xml:space="preserve">Мероприятие 1 «Содержание и обустройство </w:t>
            </w:r>
            <w:r w:rsidR="00D22AD0">
              <w:rPr>
                <w:b/>
                <w:sz w:val="22"/>
                <w:szCs w:val="22"/>
              </w:rPr>
              <w:t>т</w:t>
            </w:r>
            <w:r w:rsidRPr="0067614A">
              <w:rPr>
                <w:b/>
                <w:sz w:val="22"/>
                <w:szCs w:val="22"/>
              </w:rPr>
              <w:t xml:space="preserve"> Железнодорожненского сельского поселения»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  <w:r w:rsidR="00D22AD0">
              <w:rPr>
                <w:sz w:val="22"/>
                <w:szCs w:val="22"/>
              </w:rPr>
              <w:t>, содержание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CD5FA7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10256,8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CD5FA7" w:rsidP="0021681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2914,4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CD5FA7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CD5FA7" w:rsidP="007D59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2914,4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D22AD0" w:rsidRPr="0067614A" w:rsidTr="002C213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CD5FA7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CD5FA7" w:rsidP="007D59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2914,4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Подпрограмма 2 « Уличное освещение»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 Проектирование уличного освещения»</w:t>
            </w:r>
          </w:p>
        </w:tc>
      </w:tr>
      <w:tr w:rsidR="00D22AD0" w:rsidRPr="0067614A" w:rsidTr="002C2135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1D32D2">
        <w:trPr>
          <w:trHeight w:val="311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1D32D2">
        <w:trPr>
          <w:trHeight w:val="245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 w:rsidRPr="0067614A">
              <w:rPr>
                <w:sz w:val="22"/>
                <w:szCs w:val="22"/>
              </w:rPr>
              <w:t>Крымэнерго</w:t>
            </w:r>
            <w:proofErr w:type="spellEnd"/>
            <w:r w:rsidRPr="0067614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224816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224816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AE3602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CD5FA7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CD5FA7" w:rsidP="001D32D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2914,4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1D32D2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Par207"/>
      <w:bookmarkEnd w:id="1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0"/>
      <w:bookmarkEnd w:id="2"/>
      <w:r w:rsidRPr="00E1334E">
        <w:rPr>
          <w:sz w:val="22"/>
          <w:szCs w:val="22"/>
        </w:rPr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1"/>
      <w:bookmarkEnd w:id="3"/>
      <w:r w:rsidRPr="00E1334E">
        <w:rPr>
          <w:sz w:val="22"/>
          <w:szCs w:val="22"/>
        </w:rPr>
        <w:t>определяет ответственных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7"/>
      <w:bookmarkEnd w:id="4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8"/>
      <w:bookmarkEnd w:id="5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6" w:name="Par219"/>
      <w:bookmarkEnd w:id="6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EF" w:rsidRDefault="00E937EF" w:rsidP="009643FA">
      <w:r>
        <w:separator/>
      </w:r>
    </w:p>
  </w:endnote>
  <w:endnote w:type="continuationSeparator" w:id="0">
    <w:p w:rsidR="00E937EF" w:rsidRDefault="00E937EF" w:rsidP="009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EF" w:rsidRDefault="00E937EF" w:rsidP="009643FA">
      <w:r>
        <w:separator/>
      </w:r>
    </w:p>
  </w:footnote>
  <w:footnote w:type="continuationSeparator" w:id="0">
    <w:p w:rsidR="00E937EF" w:rsidRDefault="00E937EF" w:rsidP="0096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D2" w:rsidRPr="00254ECD" w:rsidRDefault="00BB16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5FA7">
      <w:rPr>
        <w:noProof/>
      </w:rPr>
      <w:t>9</w:t>
    </w:r>
    <w:r>
      <w:rPr>
        <w:noProof/>
      </w:rPr>
      <w:fldChar w:fldCharType="end"/>
    </w:r>
  </w:p>
  <w:p w:rsidR="001D32D2" w:rsidRDefault="001D32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24863"/>
    <w:rsid w:val="00034238"/>
    <w:rsid w:val="0003717D"/>
    <w:rsid w:val="00051EE2"/>
    <w:rsid w:val="000715F3"/>
    <w:rsid w:val="0007204E"/>
    <w:rsid w:val="0007377E"/>
    <w:rsid w:val="00076750"/>
    <w:rsid w:val="000A55A0"/>
    <w:rsid w:val="000D6363"/>
    <w:rsid w:val="000E4194"/>
    <w:rsid w:val="001143CC"/>
    <w:rsid w:val="001252DF"/>
    <w:rsid w:val="001266CD"/>
    <w:rsid w:val="00182AC5"/>
    <w:rsid w:val="00196A38"/>
    <w:rsid w:val="0019723A"/>
    <w:rsid w:val="001D32D2"/>
    <w:rsid w:val="0021681A"/>
    <w:rsid w:val="00224816"/>
    <w:rsid w:val="0024023D"/>
    <w:rsid w:val="00243A54"/>
    <w:rsid w:val="002458A6"/>
    <w:rsid w:val="00250F2A"/>
    <w:rsid w:val="00260359"/>
    <w:rsid w:val="00287A23"/>
    <w:rsid w:val="002B061C"/>
    <w:rsid w:val="002C2135"/>
    <w:rsid w:val="002D29AF"/>
    <w:rsid w:val="002D29E0"/>
    <w:rsid w:val="002D5046"/>
    <w:rsid w:val="0030239A"/>
    <w:rsid w:val="003076EA"/>
    <w:rsid w:val="00364797"/>
    <w:rsid w:val="003652FD"/>
    <w:rsid w:val="003B4D72"/>
    <w:rsid w:val="003D4D6F"/>
    <w:rsid w:val="00412DB9"/>
    <w:rsid w:val="00416AF0"/>
    <w:rsid w:val="00446573"/>
    <w:rsid w:val="004514CF"/>
    <w:rsid w:val="00476F75"/>
    <w:rsid w:val="004A11B9"/>
    <w:rsid w:val="004A6668"/>
    <w:rsid w:val="004B2E33"/>
    <w:rsid w:val="004B4E77"/>
    <w:rsid w:val="004E410A"/>
    <w:rsid w:val="004E5BA8"/>
    <w:rsid w:val="00543B06"/>
    <w:rsid w:val="005514DF"/>
    <w:rsid w:val="005666DD"/>
    <w:rsid w:val="0058053C"/>
    <w:rsid w:val="005832E0"/>
    <w:rsid w:val="00586748"/>
    <w:rsid w:val="00592658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7D59D6"/>
    <w:rsid w:val="0081064C"/>
    <w:rsid w:val="008405C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96068"/>
    <w:rsid w:val="009C0395"/>
    <w:rsid w:val="009C3648"/>
    <w:rsid w:val="009D0D1A"/>
    <w:rsid w:val="00A17CE2"/>
    <w:rsid w:val="00A20211"/>
    <w:rsid w:val="00A2162A"/>
    <w:rsid w:val="00A33F18"/>
    <w:rsid w:val="00A827AD"/>
    <w:rsid w:val="00A85EF4"/>
    <w:rsid w:val="00A8609B"/>
    <w:rsid w:val="00A8742F"/>
    <w:rsid w:val="00AB368A"/>
    <w:rsid w:val="00AB7551"/>
    <w:rsid w:val="00AE3602"/>
    <w:rsid w:val="00AE402C"/>
    <w:rsid w:val="00B24B3D"/>
    <w:rsid w:val="00B34CC5"/>
    <w:rsid w:val="00B35E97"/>
    <w:rsid w:val="00B55B71"/>
    <w:rsid w:val="00B55F41"/>
    <w:rsid w:val="00B65250"/>
    <w:rsid w:val="00BA2A96"/>
    <w:rsid w:val="00BB1677"/>
    <w:rsid w:val="00BB72BB"/>
    <w:rsid w:val="00BC237E"/>
    <w:rsid w:val="00BF1CCF"/>
    <w:rsid w:val="00BF290A"/>
    <w:rsid w:val="00BF2FCA"/>
    <w:rsid w:val="00C114A8"/>
    <w:rsid w:val="00C54673"/>
    <w:rsid w:val="00CA3DF9"/>
    <w:rsid w:val="00CD5FA7"/>
    <w:rsid w:val="00CE697E"/>
    <w:rsid w:val="00CF2F63"/>
    <w:rsid w:val="00D22AD0"/>
    <w:rsid w:val="00D34DD2"/>
    <w:rsid w:val="00D35D68"/>
    <w:rsid w:val="00D426BF"/>
    <w:rsid w:val="00D537E1"/>
    <w:rsid w:val="00D55B2F"/>
    <w:rsid w:val="00D56487"/>
    <w:rsid w:val="00D61250"/>
    <w:rsid w:val="00D76A85"/>
    <w:rsid w:val="00D80B67"/>
    <w:rsid w:val="00D8779B"/>
    <w:rsid w:val="00DA66D1"/>
    <w:rsid w:val="00DB1DD7"/>
    <w:rsid w:val="00DC3AB2"/>
    <w:rsid w:val="00DD03E6"/>
    <w:rsid w:val="00DF4589"/>
    <w:rsid w:val="00E1334E"/>
    <w:rsid w:val="00E21A6D"/>
    <w:rsid w:val="00E25C01"/>
    <w:rsid w:val="00E3457B"/>
    <w:rsid w:val="00E90460"/>
    <w:rsid w:val="00E937EF"/>
    <w:rsid w:val="00E93933"/>
    <w:rsid w:val="00EA1D68"/>
    <w:rsid w:val="00EC5B8B"/>
    <w:rsid w:val="00EE59C6"/>
    <w:rsid w:val="00EE721D"/>
    <w:rsid w:val="00F0143B"/>
    <w:rsid w:val="00F0634C"/>
    <w:rsid w:val="00F735DC"/>
    <w:rsid w:val="00F772B9"/>
    <w:rsid w:val="00FA2EEB"/>
    <w:rsid w:val="00FB3D6E"/>
    <w:rsid w:val="00FD2AA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2021-07-26T05:56:00Z</cp:lastPrinted>
  <dcterms:created xsi:type="dcterms:W3CDTF">2021-10-05T13:29:00Z</dcterms:created>
  <dcterms:modified xsi:type="dcterms:W3CDTF">2021-10-05T13:34:00Z</dcterms:modified>
</cp:coreProperties>
</file>